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65" w:rsidRPr="001E3785" w:rsidRDefault="002C7565" w:rsidP="001E3785">
      <w:pPr>
        <w:jc w:val="center"/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</w:pPr>
      <w:r w:rsidRPr="001E3785"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  <w:t>Távhőfejlesztési Cselekvési Terv (</w:t>
      </w:r>
      <w:proofErr w:type="spellStart"/>
      <w:r w:rsidRPr="001E3785"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  <w:t>TFCsT</w:t>
      </w:r>
      <w:proofErr w:type="spellEnd"/>
      <w:r w:rsidRPr="001E3785"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  <w:t>)</w:t>
      </w:r>
    </w:p>
    <w:p w:rsidR="002C7565" w:rsidRPr="001E3785" w:rsidRDefault="002C7565" w:rsidP="001E3785">
      <w:pPr>
        <w:jc w:val="center"/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</w:pPr>
      <w:proofErr w:type="gramStart"/>
      <w:r w:rsidRPr="001E3785"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  <w:t>koncepció</w:t>
      </w:r>
      <w:proofErr w:type="gramEnd"/>
    </w:p>
    <w:p w:rsidR="001E3785" w:rsidRPr="001E3785" w:rsidRDefault="001E378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D15EF4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FELHATALMAZÁS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Az Országgyűlés a 77/2011.(X.14.) OGY határozatával elfogadta a Nemzeti Energiastratégiát. A határozat 4/q pontjában foglaltak szerint az Országgyűlés felkérte a Kormányt, hogy az Energiastratégia végrehajtásának érdekében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D39F5">
        <w:rPr>
          <w:rFonts w:ascii="Times New Roman" w:hAnsi="Times New Roman" w:cs="Times New Roman"/>
          <w:i/>
          <w:iCs/>
          <w:sz w:val="24"/>
          <w:szCs w:val="24"/>
        </w:rPr>
        <w:t>vizsgálja</w:t>
      </w:r>
      <w:proofErr w:type="gramEnd"/>
      <w:r w:rsidRPr="004D39F5">
        <w:rPr>
          <w:rFonts w:ascii="Times New Roman" w:hAnsi="Times New Roman" w:cs="Times New Roman"/>
          <w:i/>
          <w:iCs/>
          <w:sz w:val="24"/>
          <w:szCs w:val="24"/>
        </w:rPr>
        <w:t xml:space="preserve"> meg a távhőtermeléssel kapcsolatos árszabályozási és jogi rendelkezések végrehajtásának, valamint a távhőszolgáltatást igénybe vevő fogyasztók támogatásának tapasztalatait, és ez alapján dolgozzon ki cselekvési tervet a távhőszolgáltatás versenyképességének biztosítására, hatékonyságának fejlesztésére és a megújuló energiaforrások bevonására. </w:t>
      </w: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>A Távhőfejlesztési Cselekvési Terv támogatás esetén Kormányhatározat formájában emelkedik közjogi erőre. A szakmai, közigazgatási és társadalmi egyeztetésekre alkalmas munka-anyag elkészítési határideje 2012. június 30. A Kormány általi elfogadás után következik a jogszabályi környezet stratégiai célokhoz történő igazítása, mely alapját jelenti majd a támogatási, pályázati és pénz</w:t>
      </w:r>
      <w:r w:rsidR="001E3785">
        <w:rPr>
          <w:rFonts w:ascii="Times New Roman" w:hAnsi="Times New Roman" w:cs="Times New Roman"/>
          <w:sz w:val="24"/>
          <w:szCs w:val="24"/>
        </w:rPr>
        <w:t>ügyi rendszerek kialakításának.</w:t>
      </w:r>
    </w:p>
    <w:p w:rsidR="00D15EF4" w:rsidRPr="004D39F5" w:rsidRDefault="00D15EF4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102956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>A Távhőfejlesztési Cs</w:t>
      </w:r>
      <w:r w:rsidR="001E3785">
        <w:rPr>
          <w:rFonts w:ascii="Times New Roman" w:hAnsi="Times New Roman" w:cs="Times New Roman"/>
          <w:b/>
          <w:sz w:val="24"/>
          <w:szCs w:val="24"/>
        </w:rPr>
        <w:t>elekvési Terv célrendszere: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Tudatosítanunk kell, hogy a környezetbarát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szolgáltatás országos energiapolitikai eszköz, az Országgyűlés által elfogadott 2030-ig irányt mutató Nemzeti Energiastratégia végrehajtásának fontos eszköze. Kiváló lehetőség a klímavédelem és a fenntartható fejlődés szolgálatában, ezért jogi szabályozással is erősíteni kell a nemzeti vagyon részét képező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távhőrendszerek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védelmét.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rekonstrukciójához, a szükséges fejlesztésekhez tehát elengedhetetlenül szükséges az integrált közgondolkodás és rendszerszintű energiapolitika irányába való elmozdulás. Tudatában kell lennünk annak, hogy a fentiek híján a nemzetgazdaságnak növekvő primerenergia-felhasználással, növekvő CO</w:t>
      </w:r>
      <w:r w:rsidRPr="001E37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39F5">
        <w:rPr>
          <w:rFonts w:ascii="Times New Roman" w:hAnsi="Times New Roman" w:cs="Times New Roman"/>
          <w:sz w:val="24"/>
          <w:szCs w:val="24"/>
        </w:rPr>
        <w:t xml:space="preserve">-kibocsátással, növekvő földgázimporttal, hiányzó áram- és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hőtermelő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kapacitással és dráguló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távhővel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kell szembenéznie.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 xml:space="preserve">1.) Mindezek alapján célunk, hogy a földgázalapú központi fűtéssel versenyezni tudó, kompetitív </w:t>
      </w:r>
      <w:proofErr w:type="spellStart"/>
      <w:r w:rsidRPr="004D39F5">
        <w:rPr>
          <w:rFonts w:ascii="Times New Roman" w:hAnsi="Times New Roman" w:cs="Times New Roman"/>
          <w:b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b/>
          <w:sz w:val="24"/>
          <w:szCs w:val="24"/>
        </w:rPr>
        <w:t xml:space="preserve"> szektort hozzunk létre.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2007-ben a forróvíz-rendszerekben termelt hőmennyiségnek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93%-át állították elő földgázból.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>2.) Célunk, hogy a távhőszolgáltatás fokozatosan a földgáz import kiváltás egyik eszközévé alakulva</w:t>
      </w:r>
      <w:r w:rsidR="000C4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785">
        <w:rPr>
          <w:rFonts w:ascii="Times New Roman" w:hAnsi="Times New Roman" w:cs="Times New Roman"/>
          <w:b/>
          <w:sz w:val="24"/>
          <w:szCs w:val="24"/>
        </w:rPr>
        <w:t xml:space="preserve">- egyrészt a földgázfelhasználás hatékonyságát fokozó kapcsolt energiatermelés támogatásával, másrészt a </w:t>
      </w:r>
      <w:r w:rsidRPr="004D39F5">
        <w:rPr>
          <w:rFonts w:ascii="Times New Roman" w:hAnsi="Times New Roman" w:cs="Times New Roman"/>
          <w:b/>
          <w:sz w:val="24"/>
          <w:szCs w:val="24"/>
        </w:rPr>
        <w:t xml:space="preserve">megújuló- és anyagában nem hasznosítható kommunális hulladék energiaforrást alkalmazva </w:t>
      </w:r>
      <w:r w:rsidR="001E37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39F5">
        <w:rPr>
          <w:rFonts w:ascii="Times New Roman" w:hAnsi="Times New Roman" w:cs="Times New Roman"/>
          <w:b/>
          <w:sz w:val="24"/>
          <w:szCs w:val="24"/>
        </w:rPr>
        <w:t xml:space="preserve">a környezettudatos fogyasztók zöld szolgáltatásává alakuljon. </w:t>
      </w:r>
    </w:p>
    <w:p w:rsidR="004D39F5" w:rsidRDefault="004D39F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 xml:space="preserve">BEVEZETÉS </w:t>
      </w:r>
    </w:p>
    <w:p w:rsidR="002C7565" w:rsidRPr="004D39F5" w:rsidRDefault="001E378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Kompetitív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távhő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hazai energiafelhasználás 40%-a hűtés-fűtési célra történik. Ebből a lakosság és a tercier szektor részesedése 60% fölötti. A fűtés és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hőtermelés döntő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hányada ma földgáz bázison történik. A fűtéssel és hűtéssel kapcsolatos kiadások a lakosság és a közületi szektor rezsiköltségének jelentős tételét képezik.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távhőszolgáltatás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kompetitívvá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tételének fő akadálya az, hogy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fogyasztók jelentős részének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díj fizetése nehézséget okoz.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drága a fogyasztók jövedelméhez </w:t>
      </w:r>
      <w:r w:rsidRPr="004D39F5">
        <w:rPr>
          <w:rFonts w:ascii="Times New Roman" w:hAnsi="Times New Roman" w:cs="Times New Roman"/>
          <w:sz w:val="24"/>
          <w:szCs w:val="24"/>
        </w:rPr>
        <w:lastRenderedPageBreak/>
        <w:t xml:space="preserve">képest és drága – a fogyasztók vélekedése szerint – a gáz (központi) fűtéshez képest. Ez utóbbi, relatív drágaságra, ismertek a magyarázatok: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fix és a változó költségek aránya nem optimális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szolgáltás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fejlesztése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szemontjából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tudatosul kellő mértékben, hogy a földgáz alapú fűtési rendszerek fenntartási és karbantartási költségei sokkal nagyobb arányban terhelődnek a fogyasztókra (ezek nincsenek benne a fűtési számlákban), mint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rendszerek esetében, végül </w:t>
      </w: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hazai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rendszerek</w:t>
      </w:r>
      <w:r w:rsidR="00DB0378">
        <w:rPr>
          <w:rFonts w:ascii="Times New Roman" w:hAnsi="Times New Roman" w:cs="Times New Roman"/>
          <w:sz w:val="24"/>
          <w:szCs w:val="24"/>
        </w:rPr>
        <w:t>, elsősorban a gáz-tarifa- és árrendszer torzításai miatt</w:t>
      </w:r>
      <w:r w:rsidRPr="004D39F5">
        <w:rPr>
          <w:rFonts w:ascii="Times New Roman" w:hAnsi="Times New Roman" w:cs="Times New Roman"/>
          <w:sz w:val="24"/>
          <w:szCs w:val="24"/>
        </w:rPr>
        <w:t xml:space="preserve"> túlzottan magas költségszinten működnek. </w:t>
      </w:r>
    </w:p>
    <w:p w:rsidR="004D39F5" w:rsidRDefault="001E3785" w:rsidP="001E3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78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057650" cy="2653504"/>
            <wp:effectExtent l="19050" t="19050" r="19050" b="13496"/>
            <wp:docPr id="35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06" cy="26546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65" w:rsidRPr="0069460F" w:rsidRDefault="00191695" w:rsidP="0019169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C7565" w:rsidRPr="0069460F">
        <w:rPr>
          <w:rFonts w:ascii="Times New Roman" w:hAnsi="Times New Roman" w:cs="Times New Roman"/>
          <w:b/>
          <w:sz w:val="24"/>
          <w:szCs w:val="24"/>
        </w:rPr>
        <w:t>ábra</w:t>
      </w:r>
      <w:r w:rsidR="002C7565" w:rsidRPr="0069460F">
        <w:rPr>
          <w:rFonts w:ascii="Times New Roman" w:hAnsi="Times New Roman" w:cs="Times New Roman"/>
          <w:sz w:val="24"/>
          <w:szCs w:val="24"/>
        </w:rPr>
        <w:t xml:space="preserve"> - Versenyhelyzet alakulása a </w:t>
      </w:r>
      <w:proofErr w:type="spellStart"/>
      <w:r w:rsidR="002C7565" w:rsidRPr="0069460F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="002C7565" w:rsidRPr="0069460F">
        <w:rPr>
          <w:rFonts w:ascii="Times New Roman" w:hAnsi="Times New Roman" w:cs="Times New Roman"/>
          <w:sz w:val="24"/>
          <w:szCs w:val="24"/>
        </w:rPr>
        <w:t xml:space="preserve"> és a gáz-központi </w:t>
      </w:r>
      <w:proofErr w:type="spellStart"/>
      <w:r w:rsidR="002C7565" w:rsidRPr="0069460F">
        <w:rPr>
          <w:rFonts w:ascii="Times New Roman" w:hAnsi="Times New Roman" w:cs="Times New Roman"/>
          <w:sz w:val="24"/>
          <w:szCs w:val="24"/>
        </w:rPr>
        <w:t>fütés</w:t>
      </w:r>
      <w:proofErr w:type="spellEnd"/>
      <w:r w:rsidR="002C7565" w:rsidRPr="0069460F">
        <w:rPr>
          <w:rFonts w:ascii="Times New Roman" w:hAnsi="Times New Roman" w:cs="Times New Roman"/>
          <w:sz w:val="24"/>
          <w:szCs w:val="24"/>
        </w:rPr>
        <w:t xml:space="preserve"> között épületenergetikai korszerűsítés előtt és után (Forrás: Orbán T</w:t>
      </w:r>
      <w:proofErr w:type="gramStart"/>
      <w:r w:rsidR="002C7565" w:rsidRPr="0069460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2C7565" w:rsidRPr="0069460F">
        <w:rPr>
          <w:rFonts w:ascii="Times New Roman" w:hAnsi="Times New Roman" w:cs="Times New Roman"/>
          <w:sz w:val="24"/>
          <w:szCs w:val="24"/>
        </w:rPr>
        <w:t xml:space="preserve"> Budapesti Helyzetkép, </w:t>
      </w:r>
      <w:proofErr w:type="spellStart"/>
      <w:r w:rsidR="002C7565" w:rsidRPr="0069460F">
        <w:rPr>
          <w:rFonts w:ascii="Times New Roman" w:hAnsi="Times New Roman" w:cs="Times New Roman"/>
          <w:sz w:val="24"/>
          <w:szCs w:val="24"/>
        </w:rPr>
        <w:t>TFCsT</w:t>
      </w:r>
      <w:proofErr w:type="spellEnd"/>
      <w:r w:rsidR="002C7565" w:rsidRPr="0069460F">
        <w:rPr>
          <w:rFonts w:ascii="Times New Roman" w:hAnsi="Times New Roman" w:cs="Times New Roman"/>
          <w:sz w:val="24"/>
          <w:szCs w:val="24"/>
        </w:rPr>
        <w:t xml:space="preserve"> v2) </w:t>
      </w:r>
    </w:p>
    <w:p w:rsidR="0069460F" w:rsidRPr="0069460F" w:rsidRDefault="0069460F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Az </w:t>
      </w:r>
      <w:r w:rsidRPr="004D39F5">
        <w:rPr>
          <w:rFonts w:ascii="Times New Roman" w:hAnsi="Times New Roman" w:cs="Times New Roman"/>
          <w:b/>
          <w:sz w:val="24"/>
          <w:szCs w:val="24"/>
        </w:rPr>
        <w:t>1. ábrán</w:t>
      </w:r>
      <w:r w:rsidRPr="004D39F5">
        <w:rPr>
          <w:rFonts w:ascii="Times New Roman" w:hAnsi="Times New Roman" w:cs="Times New Roman"/>
          <w:sz w:val="24"/>
          <w:szCs w:val="24"/>
        </w:rPr>
        <w:t xml:space="preserve"> látható, hogy a távhőszolgáltatás – Budapesten legalábbis – a lakossági (a nem Áfa visszaigénylő) szektorban a kedvezményes Áfa-kulcsnak köszönhetően jelenleg mintegy 8% mértékű versenyelőnyben van a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gáz-központi fűtéssel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szemben, amennyiben azonban az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Áfá-t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figyelmen kívül hagyjuk, az Áfa-visszaigénylő szektorban mintegy 9% versenyhátrány állapítható meg. Ez a versenyhátrány szerencsére még nem elég nagy ahhoz, hogy a meglévő nem lakossági fogyasztók tömegesen elhagyják a szolgáltatást, azonban nyilvánvalóan mutatja, hogy miért is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kell(</w:t>
      </w:r>
      <w:proofErr w:type="spellStart"/>
      <w:proofErr w:type="gramEnd"/>
      <w:r w:rsidRPr="004D39F5">
        <w:rPr>
          <w:rFonts w:ascii="Times New Roman" w:hAnsi="Times New Roman" w:cs="Times New Roman"/>
          <w:sz w:val="24"/>
          <w:szCs w:val="24"/>
        </w:rPr>
        <w:t>ett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távhőszolgáltatóknak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különféle engedményeket adni az ilyen jellegű új fogyasztók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távhőre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csatlakoztatása (piacbővítés) érdekében. Az ábrán feltüntettük az adott épület korszerűsítését (fűtéskorszerűsítés és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hővédelem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javítás) követően kialakuló helyzetet is, amely tovább árnyalja a képet. Megállapítható ugyanis, hogy egy korszerűsített épületnél a kedvezményes Áfa-kulcs nem elegendő a versenyelőny biztosításához, azaz egy ilyen épületnél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már a nem Áfa-visszaigénylő (lakossági) szekt</w:t>
      </w:r>
      <w:r w:rsidR="00191695">
        <w:rPr>
          <w:rFonts w:ascii="Times New Roman" w:hAnsi="Times New Roman" w:cs="Times New Roman"/>
          <w:sz w:val="24"/>
          <w:szCs w:val="24"/>
        </w:rPr>
        <w:t>orban is versenyhátrányban van.</w:t>
      </w:r>
    </w:p>
    <w:p w:rsidR="00191695" w:rsidRPr="004D39F5" w:rsidRDefault="0019169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>1.</w:t>
      </w:r>
      <w:r w:rsidR="001E3785">
        <w:rPr>
          <w:rFonts w:ascii="Times New Roman" w:hAnsi="Times New Roman" w:cs="Times New Roman"/>
          <w:b/>
          <w:sz w:val="24"/>
          <w:szCs w:val="24"/>
        </w:rPr>
        <w:t xml:space="preserve">1. A </w:t>
      </w:r>
      <w:proofErr w:type="spellStart"/>
      <w:r w:rsidR="001E3785">
        <w:rPr>
          <w:rFonts w:ascii="Times New Roman" w:hAnsi="Times New Roman" w:cs="Times New Roman"/>
          <w:b/>
          <w:sz w:val="24"/>
          <w:szCs w:val="24"/>
        </w:rPr>
        <w:t>távhőár</w:t>
      </w:r>
      <w:proofErr w:type="spellEnd"/>
      <w:r w:rsidR="001E3785">
        <w:rPr>
          <w:rFonts w:ascii="Times New Roman" w:hAnsi="Times New Roman" w:cs="Times New Roman"/>
          <w:b/>
          <w:sz w:val="24"/>
          <w:szCs w:val="24"/>
        </w:rPr>
        <w:t xml:space="preserve"> költségszerkezete:</w:t>
      </w: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Látható, hogy a költségek 67%-át az energiaköltségek (vásárolt hő, földgáz, villamos energia), további 10%-át pedig az értékcsökkenés és a különféle adók teszik ki, és, a nyereséggel együtt is csupán alig a költségek 23%-át jelenti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távhőszolgáltató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működési költsége. Megállapítható tehát, hogy a szolgáltató által közvetlenül befolyásolható költségek kevesebb, mint 1/3-át teszik ki a közvetlenül nem befolyásolható költségeknek (a miniszteri ármegállapítás hatálya alá tartozó termelői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hőáraknak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, a földgázáraknak, az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ÉCs-nek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és az adóknak). Ebből pedig logikusan következik egyrészt az, hogy az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energiárakban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bekövetkező </w:t>
      </w:r>
      <w:r w:rsidRPr="004D39F5">
        <w:rPr>
          <w:rFonts w:ascii="Times New Roman" w:hAnsi="Times New Roman" w:cs="Times New Roman"/>
          <w:sz w:val="24"/>
          <w:szCs w:val="24"/>
        </w:rPr>
        <w:lastRenderedPageBreak/>
        <w:t xml:space="preserve">emelkedés – a fogyasztói árak növekedése híján – a működési költségek csökkentésével szinte biztosan nem ellensúlyozható, másrészt pedig az, hogy a költségekre, és ezen keresztül a versenyhelyzetre alakulására meghatározó befolyással bír a hazai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távhőben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több, mint 80%-os részarányt képviselő földgáz ára és </w:t>
      </w:r>
      <w:r w:rsidR="00191695">
        <w:rPr>
          <w:rFonts w:ascii="Times New Roman" w:hAnsi="Times New Roman" w:cs="Times New Roman"/>
          <w:sz w:val="24"/>
          <w:szCs w:val="24"/>
        </w:rPr>
        <w:t>áraránya.</w:t>
      </w:r>
    </w:p>
    <w:p w:rsidR="00191695" w:rsidRPr="004D39F5" w:rsidRDefault="0019169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4D39F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távhő</w:t>
      </w:r>
      <w:r w:rsidR="002C7565" w:rsidRPr="004D39F5">
        <w:rPr>
          <w:rFonts w:ascii="Times New Roman" w:hAnsi="Times New Roman" w:cs="Times New Roman"/>
          <w:b/>
          <w:sz w:val="24"/>
          <w:szCs w:val="24"/>
        </w:rPr>
        <w:t>szolgá</w:t>
      </w:r>
      <w:r w:rsidR="001E3785">
        <w:rPr>
          <w:rFonts w:ascii="Times New Roman" w:hAnsi="Times New Roman" w:cs="Times New Roman"/>
          <w:b/>
          <w:sz w:val="24"/>
          <w:szCs w:val="24"/>
        </w:rPr>
        <w:t>ltatók</w:t>
      </w:r>
      <w:proofErr w:type="spellEnd"/>
      <w:r w:rsidR="001E3785">
        <w:rPr>
          <w:rFonts w:ascii="Times New Roman" w:hAnsi="Times New Roman" w:cs="Times New Roman"/>
          <w:b/>
          <w:sz w:val="24"/>
          <w:szCs w:val="24"/>
        </w:rPr>
        <w:t xml:space="preserve"> versenyének elősegítése:</w:t>
      </w: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Az olcsó hőt vásárolni tudó szolgáltatók versenyelőnyének realizálásához szükséges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szigetüzemek összekapcso</w:t>
      </w:r>
      <w:r w:rsidR="00191695">
        <w:rPr>
          <w:rFonts w:ascii="Times New Roman" w:hAnsi="Times New Roman" w:cs="Times New Roman"/>
          <w:sz w:val="24"/>
          <w:szCs w:val="24"/>
        </w:rPr>
        <w:t>lásának előírása és támogatása.</w:t>
      </w:r>
    </w:p>
    <w:p w:rsidR="00191695" w:rsidRPr="004D39F5" w:rsidRDefault="0019169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>1.3. A költségsz</w:t>
      </w:r>
      <w:r w:rsidR="001E3785">
        <w:rPr>
          <w:rFonts w:ascii="Times New Roman" w:hAnsi="Times New Roman" w:cs="Times New Roman"/>
          <w:b/>
          <w:sz w:val="24"/>
          <w:szCs w:val="24"/>
        </w:rPr>
        <w:t>intet növelő műszaki problémák: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célra szolgáló hő nagyon nagy része származik gáz</w:t>
      </w:r>
      <w:r w:rsidR="006F6A99">
        <w:rPr>
          <w:rFonts w:ascii="Times New Roman" w:hAnsi="Times New Roman" w:cs="Times New Roman"/>
          <w:sz w:val="24"/>
          <w:szCs w:val="24"/>
        </w:rPr>
        <w:t xml:space="preserve"> tüzelőanyaggal üzemeltetett hőforrásokból (kapcsolt energiatermelésből és </w:t>
      </w:r>
      <w:r w:rsidRPr="004D39F5">
        <w:rPr>
          <w:rFonts w:ascii="Times New Roman" w:hAnsi="Times New Roman" w:cs="Times New Roman"/>
          <w:sz w:val="24"/>
          <w:szCs w:val="24"/>
        </w:rPr>
        <w:t>kazánokból</w:t>
      </w:r>
      <w:r w:rsidR="006F6A99">
        <w:rPr>
          <w:rFonts w:ascii="Times New Roman" w:hAnsi="Times New Roman" w:cs="Times New Roman"/>
          <w:sz w:val="24"/>
          <w:szCs w:val="24"/>
        </w:rPr>
        <w:t>)</w:t>
      </w:r>
      <w:r w:rsidRPr="004D39F5">
        <w:rPr>
          <w:rFonts w:ascii="Times New Roman" w:hAnsi="Times New Roman" w:cs="Times New Roman"/>
          <w:sz w:val="24"/>
          <w:szCs w:val="24"/>
        </w:rPr>
        <w:t xml:space="preserve">. Kevés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távhőhöz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igazán illeszkedő megújuló </w:t>
      </w:r>
      <w:r w:rsidR="00B45994" w:rsidRPr="00B45994">
        <w:rPr>
          <w:rFonts w:ascii="Times New Roman" w:hAnsi="Times New Roman" w:cs="Times New Roman"/>
          <w:strike/>
          <w:sz w:val="24"/>
          <w:szCs w:val="24"/>
        </w:rPr>
        <w:t>és kapcsolt</w:t>
      </w:r>
      <w:r w:rsidRPr="004D39F5">
        <w:rPr>
          <w:rFonts w:ascii="Times New Roman" w:hAnsi="Times New Roman" w:cs="Times New Roman"/>
          <w:sz w:val="24"/>
          <w:szCs w:val="24"/>
        </w:rPr>
        <w:t xml:space="preserve"> termelés, alacsony a gyenge minőségű tüzelőanyagok felhasználásának aránya és kevés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hulladékhő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hasznosítás</w:t>
      </w:r>
      <w:r w:rsidR="006F6A99">
        <w:rPr>
          <w:rFonts w:ascii="Times New Roman" w:hAnsi="Times New Roman" w:cs="Times New Roman"/>
          <w:sz w:val="24"/>
          <w:szCs w:val="24"/>
        </w:rPr>
        <w:t>, mert hiányzik az eszközpark (hulladékhasznosító hő- és villamosenergia-termelő létesítmények).</w:t>
      </w:r>
      <w:r w:rsidRPr="004D39F5">
        <w:rPr>
          <w:rFonts w:ascii="Times New Roman" w:hAnsi="Times New Roman" w:cs="Times New Roman"/>
          <w:sz w:val="24"/>
          <w:szCs w:val="24"/>
        </w:rPr>
        <w:t>. A kapcsolt termelés volumene a KÁT rendszer átalakítása miatt a közelmúltban jelentősen csökkent</w:t>
      </w:r>
      <w:r w:rsidR="000A7A54">
        <w:rPr>
          <w:rFonts w:ascii="Times New Roman" w:hAnsi="Times New Roman" w:cs="Times New Roman"/>
          <w:sz w:val="24"/>
          <w:szCs w:val="24"/>
        </w:rPr>
        <w:t>, de még a távhőtermelésnek még mindig meghatározó részét teszi ki</w:t>
      </w:r>
      <w:r w:rsidRPr="004D3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hőforrások legnagyobb része már eleve gázra épült, ezért alternatív hőtermelési módok ezekben a hőforrásokban </w:t>
      </w:r>
      <w:r w:rsidR="006F6A99">
        <w:rPr>
          <w:rFonts w:ascii="Times New Roman" w:hAnsi="Times New Roman" w:cs="Times New Roman"/>
          <w:sz w:val="24"/>
          <w:szCs w:val="24"/>
        </w:rPr>
        <w:t xml:space="preserve">sok helyen </w:t>
      </w:r>
      <w:r w:rsidRPr="004D39F5">
        <w:rPr>
          <w:rFonts w:ascii="Times New Roman" w:hAnsi="Times New Roman" w:cs="Times New Roman"/>
          <w:sz w:val="24"/>
          <w:szCs w:val="24"/>
        </w:rPr>
        <w:t xml:space="preserve">nem valósíthatóak meg. Ha a gázos kapcsolt művek biomasszára történő átalakítása lenne célszerű, azt kell látni, hogy gőzciklusú kapcsolt műveknél (Pécs, Oroszlány, Ajka stb.) van rá esély, hogy a meglévő berendezés állomány egy részét hasznosítani lehessen, de gázmotoros műveknél legfeljebb a külső infrastruktúra egyes elemeit lehet felhasználni. </w:t>
      </w:r>
      <w:r w:rsidR="006F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hő elosztása a nagyobb hazai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távhőrendszerekben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emelt hőmérsékletű (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&gt;100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°C előremenő)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forróvízzel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történik. Ez a létesítéskor beruházási költségmegtakarítást jelentett, de az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üzemelte-tésnél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nagyobb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hőveszteséget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okoz és rontja a hőtermelés – különösképpen a </w:t>
      </w:r>
      <w:proofErr w:type="spellStart"/>
      <w:r w:rsidR="000A7A54">
        <w:rPr>
          <w:rFonts w:ascii="Times New Roman" w:hAnsi="Times New Roman" w:cs="Times New Roman"/>
          <w:sz w:val="24"/>
          <w:szCs w:val="24"/>
        </w:rPr>
        <w:t>nagyerőművi</w:t>
      </w:r>
      <w:proofErr w:type="spellEnd"/>
      <w:r w:rsidR="000A7A54">
        <w:rPr>
          <w:rFonts w:ascii="Times New Roman" w:hAnsi="Times New Roman" w:cs="Times New Roman"/>
          <w:sz w:val="24"/>
          <w:szCs w:val="24"/>
        </w:rPr>
        <w:t xml:space="preserve"> </w:t>
      </w:r>
      <w:r w:rsidRPr="004D39F5">
        <w:rPr>
          <w:rFonts w:ascii="Times New Roman" w:hAnsi="Times New Roman" w:cs="Times New Roman"/>
          <w:sz w:val="24"/>
          <w:szCs w:val="24"/>
        </w:rPr>
        <w:t xml:space="preserve">kapcsolt hőtermelés – gazdaságosságát.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rendszereink zöme a tervezési teljesítménynél jóval alacsonyabb kapacitáson működik (sok ipari és közületi fogyasztó levált), ez az egységnyi szolgáltatásra eső veszteség mértékét növeli. A fogyasztói oldali beavatkozások (épületszigetelés, szabályozás stb.) hatására az elosztórendszerek alulterheltsége fokozódni fog. A szállító-elosztó rendszerek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infrastruktúra nagy értékű elemei. A feljavítását célzó beavatkozások (vezetékszakaszok cseréje, szigetelés javítása, hurkok kiképzése stb.) megtérülési ideje hosszú, és az árszabályozó hatóságok nem engednek a beavatkozások pénzügyi alapjait megteremtő árelemet beépíteni a szolgáltatási díjakba. </w:t>
      </w:r>
      <w:r w:rsidR="001777F7">
        <w:rPr>
          <w:rFonts w:ascii="Times New Roman" w:hAnsi="Times New Roman" w:cs="Times New Roman"/>
          <w:sz w:val="24"/>
          <w:szCs w:val="24"/>
        </w:rPr>
        <w:t>A pályázati rendszer keretében kell elősegíteni a</w:t>
      </w:r>
      <w:r w:rsidR="00D7652C">
        <w:rPr>
          <w:rFonts w:ascii="Times New Roman" w:hAnsi="Times New Roman" w:cs="Times New Roman"/>
          <w:sz w:val="24"/>
          <w:szCs w:val="24"/>
        </w:rPr>
        <w:t xml:space="preserve"> hálózatfejlesztést és a </w:t>
      </w:r>
      <w:r w:rsidR="001777F7">
        <w:rPr>
          <w:rFonts w:ascii="Times New Roman" w:hAnsi="Times New Roman" w:cs="Times New Roman"/>
          <w:sz w:val="24"/>
          <w:szCs w:val="24"/>
        </w:rPr>
        <w:t xml:space="preserve">korszerűtlen vezetékek cseréjét. </w:t>
      </w: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Végül, a fogyasztói oldalon nagy az épületek hőigénye (és a fogyasztók hajlamosak ezért is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távhőt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okolni), valamint nehezen valósíthatóak meg az egyes fogyasztók autonómiáját biztosító beavatkozások. Ez utóbbiak körébe tartozik a vízszintes elosztású, lakásonként mért rendszerek kialakítása és a szomszédos lakások közötti szigetelések beépítése</w:t>
      </w:r>
      <w:r w:rsidR="00E91DDF">
        <w:rPr>
          <w:rFonts w:ascii="Times New Roman" w:hAnsi="Times New Roman" w:cs="Times New Roman"/>
          <w:sz w:val="24"/>
          <w:szCs w:val="24"/>
        </w:rPr>
        <w:t>, ezek az elérhető megtakarításból azonban</w:t>
      </w:r>
      <w:r w:rsidR="00E91DDF" w:rsidRPr="00E91DDF">
        <w:rPr>
          <w:rFonts w:ascii="Times New Roman" w:hAnsi="Times New Roman" w:cs="Times New Roman"/>
          <w:sz w:val="24"/>
          <w:szCs w:val="24"/>
        </w:rPr>
        <w:t xml:space="preserve"> </w:t>
      </w:r>
      <w:r w:rsidR="00E91DDF">
        <w:rPr>
          <w:rFonts w:ascii="Times New Roman" w:hAnsi="Times New Roman" w:cs="Times New Roman"/>
          <w:sz w:val="24"/>
          <w:szCs w:val="24"/>
        </w:rPr>
        <w:t>a jelenlegi árak mellett nem térülnek meg</w:t>
      </w:r>
      <w:r w:rsidRPr="004D3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60F" w:rsidRPr="004D39F5" w:rsidRDefault="0069460F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 xml:space="preserve">2. Zöld </w:t>
      </w:r>
      <w:proofErr w:type="spellStart"/>
      <w:r w:rsidRPr="004D39F5">
        <w:rPr>
          <w:rFonts w:ascii="Times New Roman" w:hAnsi="Times New Roman" w:cs="Times New Roman"/>
          <w:b/>
          <w:sz w:val="24"/>
          <w:szCs w:val="24"/>
        </w:rPr>
        <w:t>távhő</w:t>
      </w:r>
      <w:proofErr w:type="spellEnd"/>
      <w:r w:rsidRPr="004D39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7565" w:rsidRDefault="002C756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távhőszolgáltatásban a meghatározó energiahordozó a földgáz. 2009-ben 81% volt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távhő-célú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energiahordozó felhasználáson belül a részesedése. A szén és olaj együttesen is csak 7%, 2005-ben még 10% felett volt. A fennmaradó 12%-ból 6% a megújuló és kisebb részben hulladék energiahordozó, a többi technológiai hő vagy melléktermék. A földgáz részesedése a kapcsolt termelésben 77%, a nem kapcsoltban 87%. Csak a forróvíz-ellátást vizsgálva még kiemelkedőbb a földgáz részaránya (2. ábra). 2007-ben a forróvíz-rendszerekben termelt hőmennyiségnek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93</w:t>
      </w:r>
      <w:r w:rsidR="00191695">
        <w:rPr>
          <w:rFonts w:ascii="Times New Roman" w:hAnsi="Times New Roman" w:cs="Times New Roman"/>
          <w:sz w:val="24"/>
          <w:szCs w:val="24"/>
        </w:rPr>
        <w:t>%-át állították elő földgázból.</w:t>
      </w:r>
    </w:p>
    <w:p w:rsidR="00191695" w:rsidRDefault="00191695" w:rsidP="0019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F5" w:rsidRDefault="001E3785" w:rsidP="001E3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78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22556" cy="2824428"/>
            <wp:effectExtent l="19050" t="19050" r="25544" b="14022"/>
            <wp:docPr id="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02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56" cy="28244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65" w:rsidRPr="004D39F5" w:rsidRDefault="002C7565" w:rsidP="001E3785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Forrás: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OrbánT</w:t>
      </w:r>
      <w:proofErr w:type="spellEnd"/>
      <w:proofErr w:type="gramStart"/>
      <w:r w:rsidRPr="004D39F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Metzing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J. (Főtáv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C7565" w:rsidRDefault="002C7565" w:rsidP="004D3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F5">
        <w:rPr>
          <w:rFonts w:ascii="Times New Roman" w:hAnsi="Times New Roman" w:cs="Times New Roman"/>
          <w:b/>
          <w:sz w:val="24"/>
          <w:szCs w:val="24"/>
        </w:rPr>
        <w:t>2. ábra</w:t>
      </w:r>
      <w:r w:rsidRPr="001E37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E37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3785">
        <w:rPr>
          <w:rFonts w:ascii="Times New Roman" w:hAnsi="Times New Roman" w:cs="Times New Roman"/>
          <w:sz w:val="24"/>
          <w:szCs w:val="24"/>
        </w:rPr>
        <w:t xml:space="preserve"> forróvízrendszerekben termelt hőmennyiség tüzelőanyag szerkezete</w:t>
      </w:r>
      <w:r w:rsidRPr="004D3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9F5" w:rsidRPr="004D39F5" w:rsidRDefault="004D39F5" w:rsidP="004D3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5" w:rsidRPr="004D39F5" w:rsidRDefault="002C7565" w:rsidP="004D39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fentiek alapján megállapítható, hogy a kiemelkedő környezetvédelmi- és fosszilis energia kiváltó potenciállal rendelkező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távhőellátás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jelenleg nem alkalmas az elvárt klíma- és energiapolitikai célok megvalósítására. Ezért a hőtermelésben szükséges a megújuló energiaforrások részarányának illesztése a Nemzeti Energiastratégia, illetve az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NCsT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célértékeihez. A decentralizált, lokális termelési mód elterjesztése miatt szükséges továbbá a megújuló energiaforrás és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távhőrendszer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kapcsolatok topográfiai felmérése, és illesztése, illetve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távhőellátó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rendszer körzetében a geotermikus energia illetve a biomassza potenciál felmérése, a hasznosítás lehetőségeinek feltárása, műszaki megoldások, költségek és gazdaságosság elemzése. Költségelemzések alapján eldöntendő, hogy támogatás nélkül, tisztán piaci körülmények között alkalmazásuk növeli vagy csökkenti a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távhőellátás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költségeit? Ha növeli, mekkora támogatással lehet versenyképes? </w:t>
      </w:r>
    </w:p>
    <w:p w:rsidR="002C7565" w:rsidRDefault="002C7565" w:rsidP="004D39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A fűtési célú energiafelhasználás csökkentése mellett a Nemzeti Energiastratégia a megmaradó felhasználás a teljes tüzelőanyag szerkezetén belül a mai 10%-ról 25%-ra növelné a megújuló energiaforrások arányát 2030-ra. Ez természetesen további gázfelhasználás és CO2 kibocsátás csökkenést eredményezne. Az Energiastratégia alapján jelentősen nő a megújuló alapú energiafelhasználás aránya is, 2030-ra a 2010-es 12%-ról 32%-ra növekszik a lakossági és tercier </w:t>
      </w:r>
      <w:proofErr w:type="gramStart"/>
      <w:r w:rsidRPr="004D39F5">
        <w:rPr>
          <w:rFonts w:ascii="Times New Roman" w:hAnsi="Times New Roman" w:cs="Times New Roman"/>
          <w:sz w:val="24"/>
          <w:szCs w:val="24"/>
        </w:rPr>
        <w:t>szektor fűtési</w:t>
      </w:r>
      <w:proofErr w:type="gramEnd"/>
      <w:r w:rsidRPr="004D39F5">
        <w:rPr>
          <w:rFonts w:ascii="Times New Roman" w:hAnsi="Times New Roman" w:cs="Times New Roman"/>
          <w:sz w:val="24"/>
          <w:szCs w:val="24"/>
        </w:rPr>
        <w:t xml:space="preserve"> célú energiahasznosításán belül (3. ábra). </w:t>
      </w:r>
      <w:r w:rsidR="00B852C4">
        <w:rPr>
          <w:rFonts w:ascii="Times New Roman" w:hAnsi="Times New Roman" w:cs="Times New Roman"/>
          <w:sz w:val="24"/>
          <w:szCs w:val="24"/>
        </w:rPr>
        <w:t xml:space="preserve">Mivel a fennmaradó hányad nagyobb része </w:t>
      </w:r>
      <w:r w:rsidR="00125EDF">
        <w:rPr>
          <w:rFonts w:ascii="Times New Roman" w:hAnsi="Times New Roman" w:cs="Times New Roman"/>
          <w:sz w:val="24"/>
          <w:szCs w:val="24"/>
        </w:rPr>
        <w:t>(2020-ban 62 %-</w:t>
      </w:r>
      <w:proofErr w:type="gramStart"/>
      <w:r w:rsidR="00125E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25EDF">
        <w:rPr>
          <w:rFonts w:ascii="Times New Roman" w:hAnsi="Times New Roman" w:cs="Times New Roman"/>
          <w:sz w:val="24"/>
          <w:szCs w:val="24"/>
        </w:rPr>
        <w:t xml:space="preserve">, de még 2030-ban is 55 %-a, mintegy 120 PJ) </w:t>
      </w:r>
      <w:r w:rsidR="00B852C4">
        <w:rPr>
          <w:rFonts w:ascii="Times New Roman" w:hAnsi="Times New Roman" w:cs="Times New Roman"/>
          <w:sz w:val="24"/>
          <w:szCs w:val="24"/>
        </w:rPr>
        <w:t>az ábra szerint földgáz-bázison marad, ezért a korszerű kapcsolt energiatermelést meg kell őrizni, illetve fejleszteni kell.</w:t>
      </w:r>
      <w:r w:rsidR="00125EDF">
        <w:rPr>
          <w:rFonts w:ascii="Times New Roman" w:hAnsi="Times New Roman" w:cs="Times New Roman"/>
          <w:sz w:val="24"/>
          <w:szCs w:val="24"/>
        </w:rPr>
        <w:t xml:space="preserve"> </w:t>
      </w:r>
      <w:r w:rsidR="00B852C4">
        <w:rPr>
          <w:rFonts w:ascii="Times New Roman" w:hAnsi="Times New Roman" w:cs="Times New Roman"/>
          <w:sz w:val="24"/>
          <w:szCs w:val="24"/>
        </w:rPr>
        <w:t xml:space="preserve">Ezt indokolja, hogy az </w:t>
      </w:r>
      <w:proofErr w:type="spellStart"/>
      <w:r w:rsidR="00B852C4">
        <w:rPr>
          <w:rFonts w:ascii="Times New Roman" w:hAnsi="Times New Roman" w:cs="Times New Roman"/>
          <w:sz w:val="24"/>
          <w:szCs w:val="24"/>
        </w:rPr>
        <w:t>erőművi</w:t>
      </w:r>
      <w:proofErr w:type="spellEnd"/>
      <w:r w:rsidR="00B852C4">
        <w:rPr>
          <w:rFonts w:ascii="Times New Roman" w:hAnsi="Times New Roman" w:cs="Times New Roman"/>
          <w:sz w:val="24"/>
          <w:szCs w:val="24"/>
        </w:rPr>
        <w:t xml:space="preserve"> földgáz-felhasználás 2030-ig várhatóan tovább növekszik</w:t>
      </w:r>
      <w:r w:rsidR="00125EDF">
        <w:rPr>
          <w:rFonts w:ascii="Times New Roman" w:hAnsi="Times New Roman" w:cs="Times New Roman"/>
          <w:sz w:val="24"/>
          <w:szCs w:val="24"/>
        </w:rPr>
        <w:t xml:space="preserve"> (130-190 </w:t>
      </w:r>
      <w:proofErr w:type="spellStart"/>
      <w:r w:rsidR="00125EDF">
        <w:rPr>
          <w:rFonts w:ascii="Times New Roman" w:hAnsi="Times New Roman" w:cs="Times New Roman"/>
          <w:sz w:val="24"/>
          <w:szCs w:val="24"/>
        </w:rPr>
        <w:t>PJ-ra</w:t>
      </w:r>
      <w:proofErr w:type="spellEnd"/>
      <w:r w:rsidR="00125EDF">
        <w:rPr>
          <w:rFonts w:ascii="Times New Roman" w:hAnsi="Times New Roman" w:cs="Times New Roman"/>
          <w:sz w:val="24"/>
          <w:szCs w:val="24"/>
        </w:rPr>
        <w:t xml:space="preserve">). Ezt támasztja alá továbbá az EU várhatóan </w:t>
      </w:r>
      <w:r w:rsidR="00125EDF">
        <w:rPr>
          <w:rFonts w:ascii="Times New Roman" w:hAnsi="Times New Roman" w:cs="Times New Roman"/>
          <w:sz w:val="24"/>
          <w:szCs w:val="24"/>
        </w:rPr>
        <w:lastRenderedPageBreak/>
        <w:t>idén megjelenő energiahatékonysági irányelve is, amely a kondenzációs áramtermelés rovására a kapcsolt termelést kívánja előmozdítani.</w:t>
      </w:r>
      <w:r w:rsidR="00B8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0F" w:rsidRDefault="0069460F" w:rsidP="004D3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60F" w:rsidRDefault="001E3785" w:rsidP="001E3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78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24350" cy="2640824"/>
            <wp:effectExtent l="19050" t="19050" r="19050" b="26176"/>
            <wp:docPr id="2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40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0F" w:rsidRPr="004D39F5" w:rsidRDefault="0069460F" w:rsidP="004D3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565" w:rsidRPr="004D39F5" w:rsidRDefault="002C7565" w:rsidP="004D39F5">
      <w:pPr>
        <w:jc w:val="both"/>
        <w:rPr>
          <w:rFonts w:ascii="Times New Roman" w:hAnsi="Times New Roman" w:cs="Times New Roman"/>
          <w:sz w:val="24"/>
          <w:szCs w:val="24"/>
        </w:rPr>
      </w:pPr>
      <w:r w:rsidRPr="0069460F">
        <w:rPr>
          <w:rFonts w:ascii="Times New Roman" w:hAnsi="Times New Roman" w:cs="Times New Roman"/>
          <w:b/>
          <w:sz w:val="24"/>
          <w:szCs w:val="24"/>
        </w:rPr>
        <w:t>3. ábra</w:t>
      </w:r>
      <w:r w:rsidRPr="004D39F5">
        <w:rPr>
          <w:rFonts w:ascii="Times New Roman" w:hAnsi="Times New Roman" w:cs="Times New Roman"/>
          <w:sz w:val="24"/>
          <w:szCs w:val="24"/>
        </w:rPr>
        <w:t xml:space="preserve"> - Magyarország várható lakossági és tercier </w:t>
      </w:r>
      <w:proofErr w:type="spellStart"/>
      <w:r w:rsidRPr="004D39F5">
        <w:rPr>
          <w:rFonts w:ascii="Times New Roman" w:hAnsi="Times New Roman" w:cs="Times New Roman"/>
          <w:sz w:val="24"/>
          <w:szCs w:val="24"/>
        </w:rPr>
        <w:t>hőfelhasználása</w:t>
      </w:r>
      <w:proofErr w:type="spellEnd"/>
      <w:r w:rsidRPr="004D39F5">
        <w:rPr>
          <w:rFonts w:ascii="Times New Roman" w:hAnsi="Times New Roman" w:cs="Times New Roman"/>
          <w:sz w:val="24"/>
          <w:szCs w:val="24"/>
        </w:rPr>
        <w:t xml:space="preserve"> a referencia épületenergetikai forgatókönyv alapján </w:t>
      </w:r>
    </w:p>
    <w:p w:rsidR="002C7565" w:rsidRDefault="002C7565" w:rsidP="004D39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9F5">
        <w:rPr>
          <w:rFonts w:ascii="Times New Roman" w:hAnsi="Times New Roman" w:cs="Times New Roman"/>
          <w:sz w:val="24"/>
          <w:szCs w:val="24"/>
        </w:rPr>
        <w:t xml:space="preserve">Forrás: REKK </w:t>
      </w:r>
    </w:p>
    <w:p w:rsidR="00CD70DA" w:rsidRDefault="00CD70DA" w:rsidP="004D3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E4" w:rsidRDefault="000F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70DA" w:rsidRDefault="000F05E4" w:rsidP="000F05E4">
      <w:pPr>
        <w:jc w:val="center"/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</w:pPr>
      <w:r w:rsidRPr="008D5756"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  <w:lastRenderedPageBreak/>
        <w:t>KÉRDŐÍV</w:t>
      </w:r>
    </w:p>
    <w:p w:rsidR="002A6FA9" w:rsidRPr="002A6FA9" w:rsidRDefault="002A6FA9" w:rsidP="000F05E4">
      <w:pPr>
        <w:jc w:val="center"/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 xml:space="preserve">(ha releváns, </w:t>
      </w:r>
      <w:r w:rsidRPr="002A6FA9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egyéni és testületi válaszokat is várunk</w:t>
      </w:r>
      <w:r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)</w:t>
      </w:r>
    </w:p>
    <w:p w:rsidR="00CD70DA" w:rsidRPr="000F05E4" w:rsidRDefault="00CD70DA" w:rsidP="004D3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E4" w:rsidRDefault="000F05E4" w:rsidP="000F05E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Egyetért-e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TFCsT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koncepciójával, célrendszerével és a felvázolt helyzetképpel? Ha nem, vagy csak részben, mit tenne hozzá, vagy mit hagyna ki belőle?</w:t>
      </w:r>
    </w:p>
    <w:p w:rsidR="000F05E4" w:rsidRPr="000F05E4" w:rsidRDefault="000F05E4" w:rsidP="000F0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E4" w:rsidRDefault="000F05E4" w:rsidP="000F05E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Miben látja a hazai </w:t>
      </w:r>
      <w:proofErr w:type="spellStart"/>
      <w:r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szolgáltatás problémáit?</w:t>
      </w:r>
    </w:p>
    <w:p w:rsidR="000F05E4" w:rsidRDefault="000F05E4" w:rsidP="000F0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E4" w:rsidRDefault="000F05E4" w:rsidP="000F05E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jellemzői lennének egy ideális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szolgáltatásnak 2030-ban?</w:t>
      </w:r>
    </w:p>
    <w:p w:rsidR="000F05E4" w:rsidRDefault="000F05E4" w:rsidP="000F0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E4" w:rsidRDefault="000F05E4" w:rsidP="000F05E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konkrét javaslatai lennének az ön régióját, lakóhelyét érintő </w:t>
      </w:r>
      <w:proofErr w:type="spellStart"/>
      <w:r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fejlesztésekre, a megújuló hőtermelés bevonására?</w:t>
      </w:r>
    </w:p>
    <w:p w:rsidR="000F05E4" w:rsidRDefault="000F05E4" w:rsidP="000F0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5E4" w:rsidRDefault="001C7198" w:rsidP="000F05E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rövid-, közép-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hosszútávú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intézkedéseket hozna ön a kormányzat helyében a távhőszolgáltatás versenyképességének és „zöldítésének” elősegítésére? (rövidtáv – 2015-ig, középtáv – 2020-ig, hosszútáv – 2030-ig)</w:t>
      </w:r>
    </w:p>
    <w:p w:rsidR="001C7198" w:rsidRDefault="001C7198" w:rsidP="001C7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98" w:rsidRPr="001C7198" w:rsidRDefault="001C7198" w:rsidP="001C719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új technológiai fejlesztéseket, találmányokat javasolna kipróbálni a távhőszolgáltatás műszaki fejlesztésének céljából?</w:t>
      </w:r>
    </w:p>
    <w:p w:rsidR="00EC121E" w:rsidRDefault="00EC121E" w:rsidP="004D3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21E" w:rsidRDefault="00EC121E" w:rsidP="00EC121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indikátorokat, mérőszámokat javasolna a távhőszolgáltatás minőség ellenőrzésére és műszaki színvonalának </w:t>
      </w:r>
      <w:proofErr w:type="spellStart"/>
      <w:r w:rsidR="00B009E8">
        <w:rPr>
          <w:rFonts w:ascii="Times New Roman" w:hAnsi="Times New Roman" w:cs="Times New Roman"/>
          <w:sz w:val="24"/>
          <w:szCs w:val="24"/>
        </w:rPr>
        <w:t>monitoringjához</w:t>
      </w:r>
      <w:proofErr w:type="spellEnd"/>
      <w:r w:rsidR="00B009E8">
        <w:rPr>
          <w:rFonts w:ascii="Times New Roman" w:hAnsi="Times New Roman" w:cs="Times New Roman"/>
          <w:sz w:val="24"/>
          <w:szCs w:val="24"/>
        </w:rPr>
        <w:t>?</w:t>
      </w:r>
    </w:p>
    <w:p w:rsidR="00B009E8" w:rsidRDefault="00B009E8" w:rsidP="00B00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9E8" w:rsidRDefault="00B009E8" w:rsidP="00B009E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bármilyen egyéb észrevétele a tárgyhoz kapcsolódóan?</w:t>
      </w:r>
    </w:p>
    <w:p w:rsidR="00B009E8" w:rsidRPr="00B009E8" w:rsidRDefault="00B009E8" w:rsidP="00B009E8">
      <w:pPr>
        <w:rPr>
          <w:rFonts w:ascii="Times New Roman" w:hAnsi="Times New Roman" w:cs="Times New Roman"/>
          <w:sz w:val="24"/>
          <w:szCs w:val="24"/>
        </w:rPr>
      </w:pPr>
    </w:p>
    <w:p w:rsidR="00B009E8" w:rsidRPr="00B009E8" w:rsidRDefault="00B009E8" w:rsidP="00B009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9E8" w:rsidRPr="00B009E8" w:rsidSect="00870B9E">
      <w:footerReference w:type="default" r:id="rId11"/>
      <w:headerReference w:type="first" r:id="rId12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A5" w:rsidRDefault="003549A5" w:rsidP="004D39F5">
      <w:pPr>
        <w:spacing w:after="0" w:line="240" w:lineRule="auto"/>
      </w:pPr>
      <w:r>
        <w:separator/>
      </w:r>
    </w:p>
  </w:endnote>
  <w:endnote w:type="continuationSeparator" w:id="0">
    <w:p w:rsidR="003549A5" w:rsidRDefault="003549A5" w:rsidP="004D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4"/>
      <w:docPartObj>
        <w:docPartGallery w:val="Page Numbers (Bottom of Page)"/>
        <w:docPartUnique/>
      </w:docPartObj>
    </w:sdtPr>
    <w:sdtContent>
      <w:p w:rsidR="00A03798" w:rsidRDefault="00FD3A5B">
        <w:pPr>
          <w:pStyle w:val="llb"/>
          <w:jc w:val="center"/>
        </w:pPr>
        <w:fldSimple w:instr=" PAGE   \* MERGEFORMAT ">
          <w:r w:rsidR="00B009E8">
            <w:rPr>
              <w:noProof/>
            </w:rPr>
            <w:t>5</w:t>
          </w:r>
        </w:fldSimple>
      </w:p>
    </w:sdtContent>
  </w:sdt>
  <w:p w:rsidR="00A03798" w:rsidRDefault="00A037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A5" w:rsidRDefault="003549A5" w:rsidP="004D39F5">
      <w:pPr>
        <w:spacing w:after="0" w:line="240" w:lineRule="auto"/>
      </w:pPr>
      <w:r>
        <w:separator/>
      </w:r>
    </w:p>
  </w:footnote>
  <w:footnote w:type="continuationSeparator" w:id="0">
    <w:p w:rsidR="003549A5" w:rsidRDefault="003549A5" w:rsidP="004D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219"/>
      <w:docPartObj>
        <w:docPartGallery w:val="Page Numbers (Top of Page)"/>
        <w:docPartUnique/>
      </w:docPartObj>
    </w:sdtPr>
    <w:sdtContent>
      <w:p w:rsidR="001C7198" w:rsidRDefault="00FD3A5B">
        <w:pPr>
          <w:pStyle w:val="lfej"/>
          <w:jc w:val="center"/>
        </w:pPr>
        <w:fldSimple w:instr=" PAGE   \* MERGEFORMAT ">
          <w:r w:rsidR="00EC121E">
            <w:rPr>
              <w:noProof/>
            </w:rPr>
            <w:t>1</w:t>
          </w:r>
        </w:fldSimple>
      </w:p>
    </w:sdtContent>
  </w:sdt>
  <w:p w:rsidR="001C7198" w:rsidRDefault="001C71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AE5CB3"/>
    <w:multiLevelType w:val="hybridMultilevel"/>
    <w:tmpl w:val="71C2E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EFF427"/>
    <w:multiLevelType w:val="hybridMultilevel"/>
    <w:tmpl w:val="CD43E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CB401"/>
    <w:multiLevelType w:val="hybridMultilevel"/>
    <w:tmpl w:val="8218D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E2267D"/>
    <w:multiLevelType w:val="hybridMultilevel"/>
    <w:tmpl w:val="69067FE2"/>
    <w:lvl w:ilvl="0" w:tplc="2F46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14CB"/>
    <w:multiLevelType w:val="hybridMultilevel"/>
    <w:tmpl w:val="D1CAE5FC"/>
    <w:lvl w:ilvl="0" w:tplc="B82609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E2784"/>
    <w:multiLevelType w:val="hybridMultilevel"/>
    <w:tmpl w:val="5F206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52EAF5"/>
    <w:multiLevelType w:val="hybridMultilevel"/>
    <w:tmpl w:val="BA742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65"/>
    <w:rsid w:val="000A7A54"/>
    <w:rsid w:val="000B185C"/>
    <w:rsid w:val="000C4219"/>
    <w:rsid w:val="000F05E4"/>
    <w:rsid w:val="00102956"/>
    <w:rsid w:val="00103655"/>
    <w:rsid w:val="00125EDF"/>
    <w:rsid w:val="001777F7"/>
    <w:rsid w:val="00191695"/>
    <w:rsid w:val="001C7198"/>
    <w:rsid w:val="001E3785"/>
    <w:rsid w:val="002A6FA9"/>
    <w:rsid w:val="002C7565"/>
    <w:rsid w:val="0030790B"/>
    <w:rsid w:val="00345C94"/>
    <w:rsid w:val="003549A5"/>
    <w:rsid w:val="00355D38"/>
    <w:rsid w:val="003F7503"/>
    <w:rsid w:val="00421388"/>
    <w:rsid w:val="004339FE"/>
    <w:rsid w:val="004800ED"/>
    <w:rsid w:val="004940B3"/>
    <w:rsid w:val="004D39F5"/>
    <w:rsid w:val="00516333"/>
    <w:rsid w:val="0060564A"/>
    <w:rsid w:val="0069460F"/>
    <w:rsid w:val="006A1AB8"/>
    <w:rsid w:val="006F6A99"/>
    <w:rsid w:val="00817DE2"/>
    <w:rsid w:val="00870B9E"/>
    <w:rsid w:val="0089207C"/>
    <w:rsid w:val="008D5756"/>
    <w:rsid w:val="00973570"/>
    <w:rsid w:val="00A03798"/>
    <w:rsid w:val="00A7337F"/>
    <w:rsid w:val="00B009E8"/>
    <w:rsid w:val="00B36C69"/>
    <w:rsid w:val="00B44000"/>
    <w:rsid w:val="00B45994"/>
    <w:rsid w:val="00B852C4"/>
    <w:rsid w:val="00B92DE8"/>
    <w:rsid w:val="00BA7A42"/>
    <w:rsid w:val="00CD70DA"/>
    <w:rsid w:val="00D15EF4"/>
    <w:rsid w:val="00D204AC"/>
    <w:rsid w:val="00D7652C"/>
    <w:rsid w:val="00DB0378"/>
    <w:rsid w:val="00E91DDF"/>
    <w:rsid w:val="00EC121E"/>
    <w:rsid w:val="00FB538C"/>
    <w:rsid w:val="00FD3A5B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75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D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9F5"/>
  </w:style>
  <w:style w:type="paragraph" w:styleId="llb">
    <w:name w:val="footer"/>
    <w:basedOn w:val="Norml"/>
    <w:link w:val="llbChar"/>
    <w:uiPriority w:val="99"/>
    <w:unhideWhenUsed/>
    <w:rsid w:val="004D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9F5"/>
  </w:style>
  <w:style w:type="paragraph" w:styleId="Listaszerbekezds">
    <w:name w:val="List Paragraph"/>
    <w:basedOn w:val="Norml"/>
    <w:uiPriority w:val="34"/>
    <w:qFormat/>
    <w:rsid w:val="006946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B03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03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03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03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037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2274-21D8-4121-BE03-CB06EFDB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1588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Főtáv Zrt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14605</dc:creator>
  <cp:lastModifiedBy>ToldiO</cp:lastModifiedBy>
  <cp:revision>3</cp:revision>
  <cp:lastPrinted>2012-04-25T12:43:00Z</cp:lastPrinted>
  <dcterms:created xsi:type="dcterms:W3CDTF">2012-04-25T12:45:00Z</dcterms:created>
  <dcterms:modified xsi:type="dcterms:W3CDTF">2012-05-02T09:14:00Z</dcterms:modified>
</cp:coreProperties>
</file>